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uk-UA"/>
        </w:rPr>
      </w:pPr>
      <w:r>
        <w:rPr>
          <w:lang w:val="uk-UA"/>
        </w:rPr>
        <w:t>Кадровий склад дошкільного підрозділу</w:t>
      </w:r>
    </w:p>
    <w:p>
      <w:pPr>
        <w:rPr>
          <w:lang w:val="uk-UA"/>
        </w:rPr>
      </w:pPr>
    </w:p>
    <w:p>
      <w:pPr>
        <w:rPr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Штатні одиниці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Фактично зайняті одиниці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Кількість працюючих фізичні особи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28</w:t>
            </w:r>
            <w:r>
              <w:rPr>
                <w:lang w:val="uk-UA"/>
              </w:rPr>
              <w:t>,</w:t>
            </w:r>
            <w:r>
              <w:rPr>
                <w:rFonts w:hint="default"/>
                <w:lang w:val="uk-UA"/>
              </w:rPr>
              <w:t>47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24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rFonts w:hint="default"/>
                <w:lang w:val="uk-UA"/>
              </w:rPr>
              <w:t>8</w:t>
            </w:r>
          </w:p>
        </w:tc>
      </w:tr>
    </w:tbl>
    <w:p>
      <w:pPr>
        <w:rPr>
          <w:lang w:val="uk-UA"/>
        </w:rPr>
      </w:pPr>
      <w:r>
        <w:t xml:space="preserve">        </w:t>
      </w:r>
    </w:p>
    <w:p>
      <w:pPr>
        <w:rPr>
          <w:lang w:val="uk-UA"/>
        </w:rPr>
      </w:pPr>
      <w:r>
        <w:rPr>
          <w:lang w:val="uk-UA"/>
        </w:rPr>
        <w:t>П</w:t>
      </w:r>
      <w:r>
        <w:t>ед</w:t>
      </w:r>
      <w:r>
        <w:rPr>
          <w:lang w:val="uk-UA"/>
        </w:rPr>
        <w:t xml:space="preserve">агогічні </w:t>
      </w:r>
      <w:r>
        <w:t xml:space="preserve">працівники </w:t>
      </w:r>
      <w:r>
        <w:rPr>
          <w:lang w:val="uk-UA"/>
        </w:rPr>
        <w:t>:</w:t>
      </w:r>
    </w:p>
    <w:p>
      <w:pPr>
        <w:rPr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Штатні одиниці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Фактично зайняті одиниці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Кількість працюючих фізичні особи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rFonts w:hint="default"/>
                <w:lang w:val="uk-UA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rFonts w:hint="default"/>
                <w:lang w:val="uk-UA"/>
              </w:rPr>
              <w:t>07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9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rFonts w:hint="default"/>
                <w:lang w:val="uk-UA"/>
              </w:rPr>
              <w:t>0</w:t>
            </w:r>
          </w:p>
        </w:tc>
      </w:tr>
    </w:tbl>
    <w:p>
      <w:pPr>
        <w:rPr>
          <w:lang w:val="uk-UA"/>
        </w:rPr>
      </w:pPr>
    </w:p>
    <w:p>
      <w:pPr>
        <w:rPr>
          <w:lang w:val="uk-UA"/>
        </w:rPr>
      </w:pP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lang w:val="uk-UA"/>
        </w:rPr>
        <w:t>Заступник директора з НВР (дошк.підр.)     1  (спеціаліст)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bookmarkStart w:id="0" w:name="_GoBack"/>
      <w:bookmarkEnd w:id="0"/>
      <w:r>
        <w:rPr>
          <w:rFonts w:hint="default"/>
          <w:lang w:val="uk-UA"/>
        </w:rPr>
        <w:t>Вчитель логопед                                                 1  (друга категорія)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lang w:val="uk-UA"/>
        </w:rPr>
        <w:t>Керіник музичний                                              1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lang w:val="uk-UA"/>
        </w:rPr>
        <w:t>Інструктор з фізкультури                                  1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lang w:val="uk-UA"/>
        </w:rPr>
        <w:t>Керівник гуртка                                               1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lang w:val="uk-UA"/>
        </w:rPr>
        <w:t>Асистент вихователя                                     1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lang w:val="uk-UA"/>
        </w:rPr>
        <w:t>Вихователь                                                      5  (вища категорія, друга категорія)</w:t>
      </w:r>
    </w:p>
    <w:p>
      <w:pPr>
        <w:rPr>
          <w:lang w:val="uk-UA"/>
        </w:rPr>
      </w:pPr>
    </w:p>
    <w:p>
      <w:pPr>
        <w:rPr>
          <w:lang w:val="uk-UA"/>
        </w:rPr>
      </w:pPr>
    </w:p>
    <w:tbl>
      <w:tblPr>
        <w:tblStyle w:val="4"/>
        <w:tblpPr w:leftFromText="180" w:rightFromText="180" w:vertAnchor="page" w:horzAnchor="page" w:tblpX="693" w:tblpY="37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648"/>
        <w:gridCol w:w="500"/>
        <w:gridCol w:w="500"/>
        <w:gridCol w:w="500"/>
        <w:gridCol w:w="501"/>
        <w:gridCol w:w="501"/>
        <w:gridCol w:w="502"/>
        <w:gridCol w:w="502"/>
        <w:gridCol w:w="493"/>
        <w:gridCol w:w="501"/>
        <w:gridCol w:w="501"/>
        <w:gridCol w:w="501"/>
        <w:gridCol w:w="501"/>
        <w:gridCol w:w="501"/>
        <w:gridCol w:w="501"/>
        <w:gridCol w:w="501"/>
        <w:gridCol w:w="501"/>
        <w:gridCol w:w="738"/>
        <w:gridCol w:w="501"/>
        <w:gridCol w:w="501"/>
        <w:gridCol w:w="501"/>
        <w:gridCol w:w="501"/>
        <w:gridCol w:w="1261"/>
        <w:gridCol w:w="1128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46" w:type="dxa"/>
            <w:gridSpan w:val="10"/>
            <w:noWrap/>
          </w:tcPr>
          <w:p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b/>
                <w:bCs/>
              </w:rPr>
              <w:t>Якісний склад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</w:rPr>
              <w:t xml:space="preserve">педагогічних працівників </w:t>
            </w:r>
            <w:r>
              <w:rPr>
                <w:b/>
                <w:bCs/>
                <w:lang w:val="uk-UA"/>
              </w:rPr>
              <w:t xml:space="preserve">дошкільного підрозділу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>на 2021-2022 рр.</w:t>
            </w: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38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26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128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dxa"/>
            <w:noWrap/>
          </w:tcPr>
          <w:p>
            <w:pPr>
              <w:spacing w:after="0" w:line="240" w:lineRule="auto"/>
            </w:pPr>
          </w:p>
        </w:tc>
        <w:tc>
          <w:tcPr>
            <w:tcW w:w="648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0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493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738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26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128" w:type="dxa"/>
            <w:noWrap/>
          </w:tcPr>
          <w:p>
            <w:pPr>
              <w:spacing w:after="0" w:line="240" w:lineRule="auto"/>
            </w:pPr>
          </w:p>
        </w:tc>
        <w:tc>
          <w:tcPr>
            <w:tcW w:w="501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9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Кількість педпрацівників</w:t>
            </w:r>
          </w:p>
        </w:tc>
        <w:tc>
          <w:tcPr>
            <w:tcW w:w="648" w:type="dxa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У т.ч.</w:t>
            </w:r>
          </w:p>
        </w:tc>
        <w:tc>
          <w:tcPr>
            <w:tcW w:w="3004" w:type="dxa"/>
            <w:gridSpan w:val="6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За віком</w:t>
            </w:r>
          </w:p>
        </w:tc>
        <w:tc>
          <w:tcPr>
            <w:tcW w:w="1997" w:type="dxa"/>
            <w:gridSpan w:val="4"/>
          </w:tcPr>
          <w:p>
            <w:pPr>
              <w:spacing w:after="0" w:line="240" w:lineRule="auto"/>
            </w:pPr>
            <w:r>
              <w:t>За освітнім рівнем: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Кандидати наук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Доктори наук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кілкість осіб, що навчається заочно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Підвищило кваліфікацію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Передпенсійний вік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Пенсійний вік</w:t>
            </w:r>
          </w:p>
        </w:tc>
        <w:tc>
          <w:tcPr>
            <w:tcW w:w="5131" w:type="dxa"/>
            <w:gridSpan w:val="7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За кваліфікаційними категоріями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Кількість сумісників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499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648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Жінок</w:t>
            </w:r>
          </w:p>
        </w:tc>
        <w:tc>
          <w:tcPr>
            <w:tcW w:w="500" w:type="dxa"/>
            <w:vMerge w:val="restart"/>
            <w:textDirection w:val="btLr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 30 років</w:t>
            </w:r>
          </w:p>
        </w:tc>
        <w:tc>
          <w:tcPr>
            <w:tcW w:w="500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31-40 років</w:t>
            </w:r>
          </w:p>
        </w:tc>
        <w:tc>
          <w:tcPr>
            <w:tcW w:w="500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41-50 років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51-55 років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56-60 років</w:t>
            </w:r>
          </w:p>
        </w:tc>
        <w:tc>
          <w:tcPr>
            <w:tcW w:w="502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понад 60 років</w:t>
            </w:r>
          </w:p>
        </w:tc>
        <w:tc>
          <w:tcPr>
            <w:tcW w:w="502" w:type="dxa"/>
            <w:vMerge w:val="restart"/>
            <w:textDirection w:val="btLr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Загальна середня</w:t>
            </w:r>
          </w:p>
        </w:tc>
        <w:tc>
          <w:tcPr>
            <w:tcW w:w="493" w:type="dxa"/>
            <w:vMerge w:val="restart"/>
            <w:textDirection w:val="btLr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Вища освіта, в т.ч.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перший (бакалаврський) рівень (старий термін середня спеціальна)</w:t>
            </w:r>
          </w:p>
        </w:tc>
        <w:tc>
          <w:tcPr>
            <w:tcW w:w="501" w:type="dxa"/>
            <w:vMerge w:val="restart"/>
            <w:textDirection w:val="btL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другий (магістерський) рівень (спеціаліст)</w:t>
            </w: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738" w:type="dxa"/>
            <w:vMerge w:val="restart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Вища</w:t>
            </w:r>
          </w:p>
        </w:tc>
        <w:tc>
          <w:tcPr>
            <w:tcW w:w="1002" w:type="dxa"/>
            <w:gridSpan w:val="2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У т.ч. мають звання</w:t>
            </w:r>
          </w:p>
        </w:tc>
        <w:tc>
          <w:tcPr>
            <w:tcW w:w="501" w:type="dxa"/>
            <w:vMerge w:val="restart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І</w:t>
            </w:r>
          </w:p>
        </w:tc>
        <w:tc>
          <w:tcPr>
            <w:tcW w:w="501" w:type="dxa"/>
            <w:vMerge w:val="restart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ІІ</w:t>
            </w:r>
          </w:p>
        </w:tc>
        <w:tc>
          <w:tcPr>
            <w:tcW w:w="1261" w:type="dxa"/>
            <w:vMerge w:val="restart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Спеціаліст</w:t>
            </w:r>
          </w:p>
        </w:tc>
        <w:tc>
          <w:tcPr>
            <w:tcW w:w="1128" w:type="dxa"/>
            <w:vMerge w:val="restart"/>
          </w:tcPr>
          <w:p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Без категорії</w:t>
            </w: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499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648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0" w:type="dxa"/>
            <w:vMerge w:val="continue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0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2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2" w:type="dxa"/>
            <w:vMerge w:val="continue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93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738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textDirection w:val="btL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Старший вихователь</w:t>
            </w:r>
          </w:p>
        </w:tc>
        <w:tc>
          <w:tcPr>
            <w:tcW w:w="501" w:type="dxa"/>
            <w:textDirection w:val="btLr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Вихователь-методист</w:t>
            </w: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26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128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01" w:type="dxa"/>
            <w:vMerge w:val="continue"/>
          </w:tcPr>
          <w:p>
            <w:pPr>
              <w:spacing w:after="0" w:line="240" w:lineRule="auto"/>
              <w:rPr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9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</w:rPr>
              <w:t>1</w:t>
            </w:r>
            <w:r>
              <w:rPr>
                <w:rFonts w:hint="default"/>
                <w:b/>
                <w:bCs/>
                <w:i/>
                <w:iCs/>
                <w:lang w:val="uk-UA"/>
              </w:rPr>
              <w:t>0</w:t>
            </w:r>
          </w:p>
        </w:tc>
        <w:tc>
          <w:tcPr>
            <w:tcW w:w="648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</w:rPr>
              <w:t>1</w:t>
            </w:r>
            <w:r>
              <w:rPr>
                <w:rFonts w:hint="default"/>
                <w:b/>
                <w:bCs/>
                <w:i/>
                <w:iCs/>
                <w:lang w:val="uk-UA"/>
              </w:rPr>
              <w:t>0</w:t>
            </w:r>
          </w:p>
        </w:tc>
        <w:tc>
          <w:tcPr>
            <w:tcW w:w="500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1</w:t>
            </w:r>
          </w:p>
        </w:tc>
        <w:tc>
          <w:tcPr>
            <w:tcW w:w="500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00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502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502" w:type="dxa"/>
          </w:tcPr>
          <w:p>
            <w:pPr>
              <w:spacing w:after="0" w:line="240" w:lineRule="auto"/>
              <w:rPr>
                <w:rFonts w:hint="default"/>
                <w:b/>
                <w:bCs/>
                <w:lang w:val="uk-UA"/>
              </w:rPr>
            </w:pPr>
            <w:r>
              <w:rPr>
                <w:b/>
                <w:bCs/>
              </w:rPr>
              <w:t> </w:t>
            </w:r>
            <w:r>
              <w:rPr>
                <w:rFonts w:hint="default"/>
                <w:b/>
                <w:bCs/>
                <w:lang w:val="uk-UA"/>
              </w:rPr>
              <w:t>7</w:t>
            </w:r>
          </w:p>
        </w:tc>
        <w:tc>
          <w:tcPr>
            <w:tcW w:w="493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</w:rPr>
              <w:t> </w:t>
            </w:r>
            <w:r>
              <w:rPr>
                <w:rFonts w:hint="default"/>
                <w:b/>
                <w:bCs/>
                <w:i/>
                <w:iCs/>
                <w:lang w:val="uk-UA"/>
              </w:rPr>
              <w:t>3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</w:rPr>
              <w:t> </w:t>
            </w:r>
            <w:r>
              <w:rPr>
                <w:rFonts w:hint="default"/>
                <w:b/>
                <w:bCs/>
                <w:i/>
                <w:iCs/>
                <w:lang w:val="uk-UA"/>
              </w:rPr>
              <w:t>10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0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738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rFonts w:hint="default"/>
                <w:b/>
                <w:bCs/>
                <w:i/>
                <w:iCs/>
                <w:lang w:val="uk-UA"/>
              </w:rPr>
            </w:pPr>
            <w:r>
              <w:rPr>
                <w:rFonts w:hint="default"/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126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9" w:type="dxa"/>
          </w:tcPr>
          <w:p>
            <w:pPr>
              <w:spacing w:after="0" w:line="240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648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0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2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2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3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26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</w:tbl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2B2C5"/>
    <w:multiLevelType w:val="singleLevel"/>
    <w:tmpl w:val="40D2B2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E3"/>
    <w:rsid w:val="00002BEF"/>
    <w:rsid w:val="00006641"/>
    <w:rsid w:val="000110D2"/>
    <w:rsid w:val="0001145C"/>
    <w:rsid w:val="000128D3"/>
    <w:rsid w:val="00020676"/>
    <w:rsid w:val="000209E3"/>
    <w:rsid w:val="0002444B"/>
    <w:rsid w:val="00027843"/>
    <w:rsid w:val="0003100A"/>
    <w:rsid w:val="0004259F"/>
    <w:rsid w:val="00062655"/>
    <w:rsid w:val="00065E42"/>
    <w:rsid w:val="000667CA"/>
    <w:rsid w:val="00071248"/>
    <w:rsid w:val="00071DC8"/>
    <w:rsid w:val="00074449"/>
    <w:rsid w:val="00075EB1"/>
    <w:rsid w:val="00085A69"/>
    <w:rsid w:val="00086F16"/>
    <w:rsid w:val="000A19BF"/>
    <w:rsid w:val="000A34AE"/>
    <w:rsid w:val="000A594C"/>
    <w:rsid w:val="000B16DA"/>
    <w:rsid w:val="000C34B3"/>
    <w:rsid w:val="000C3FE1"/>
    <w:rsid w:val="000C4622"/>
    <w:rsid w:val="000D5B29"/>
    <w:rsid w:val="000D7757"/>
    <w:rsid w:val="000E64D0"/>
    <w:rsid w:val="000F1848"/>
    <w:rsid w:val="000F3844"/>
    <w:rsid w:val="000F471B"/>
    <w:rsid w:val="00100397"/>
    <w:rsid w:val="00104546"/>
    <w:rsid w:val="00104911"/>
    <w:rsid w:val="00113656"/>
    <w:rsid w:val="001203A9"/>
    <w:rsid w:val="001211BB"/>
    <w:rsid w:val="00123188"/>
    <w:rsid w:val="001277B7"/>
    <w:rsid w:val="00132AFB"/>
    <w:rsid w:val="00136E5B"/>
    <w:rsid w:val="001420C1"/>
    <w:rsid w:val="0014481B"/>
    <w:rsid w:val="00147588"/>
    <w:rsid w:val="001619FC"/>
    <w:rsid w:val="001640C8"/>
    <w:rsid w:val="001657E3"/>
    <w:rsid w:val="00166D51"/>
    <w:rsid w:val="00172908"/>
    <w:rsid w:val="001735A2"/>
    <w:rsid w:val="00175B89"/>
    <w:rsid w:val="00184DC6"/>
    <w:rsid w:val="001853D9"/>
    <w:rsid w:val="00192D78"/>
    <w:rsid w:val="00194DC8"/>
    <w:rsid w:val="001A1781"/>
    <w:rsid w:val="001A4999"/>
    <w:rsid w:val="001A6CB9"/>
    <w:rsid w:val="001B2681"/>
    <w:rsid w:val="001C3CD3"/>
    <w:rsid w:val="001C6452"/>
    <w:rsid w:val="001D7FD0"/>
    <w:rsid w:val="001E4DE6"/>
    <w:rsid w:val="001E5375"/>
    <w:rsid w:val="001F6853"/>
    <w:rsid w:val="001F79D9"/>
    <w:rsid w:val="0020172C"/>
    <w:rsid w:val="0020381D"/>
    <w:rsid w:val="00210992"/>
    <w:rsid w:val="00212833"/>
    <w:rsid w:val="00214751"/>
    <w:rsid w:val="00232F6F"/>
    <w:rsid w:val="00233AEE"/>
    <w:rsid w:val="00234C80"/>
    <w:rsid w:val="00234D0F"/>
    <w:rsid w:val="002370DD"/>
    <w:rsid w:val="00253F45"/>
    <w:rsid w:val="002557B4"/>
    <w:rsid w:val="0026477D"/>
    <w:rsid w:val="00274624"/>
    <w:rsid w:val="0027650F"/>
    <w:rsid w:val="0028032C"/>
    <w:rsid w:val="0028795E"/>
    <w:rsid w:val="00291344"/>
    <w:rsid w:val="002962A9"/>
    <w:rsid w:val="002A0A6A"/>
    <w:rsid w:val="002A3717"/>
    <w:rsid w:val="002B5EA0"/>
    <w:rsid w:val="002C0947"/>
    <w:rsid w:val="002C3970"/>
    <w:rsid w:val="002C3A4B"/>
    <w:rsid w:val="002C404F"/>
    <w:rsid w:val="002C52A8"/>
    <w:rsid w:val="002D0D6A"/>
    <w:rsid w:val="002D2D15"/>
    <w:rsid w:val="002D3B03"/>
    <w:rsid w:val="002E1D72"/>
    <w:rsid w:val="002E7107"/>
    <w:rsid w:val="002F12F7"/>
    <w:rsid w:val="00305945"/>
    <w:rsid w:val="00306F42"/>
    <w:rsid w:val="003152EB"/>
    <w:rsid w:val="00320227"/>
    <w:rsid w:val="0032365F"/>
    <w:rsid w:val="00326219"/>
    <w:rsid w:val="0032623F"/>
    <w:rsid w:val="00337E0B"/>
    <w:rsid w:val="00342075"/>
    <w:rsid w:val="0034648E"/>
    <w:rsid w:val="00347012"/>
    <w:rsid w:val="00347EA9"/>
    <w:rsid w:val="0035310B"/>
    <w:rsid w:val="00354CFC"/>
    <w:rsid w:val="003569EB"/>
    <w:rsid w:val="00356A1F"/>
    <w:rsid w:val="00362FB7"/>
    <w:rsid w:val="003631EE"/>
    <w:rsid w:val="00365233"/>
    <w:rsid w:val="003678C7"/>
    <w:rsid w:val="00372405"/>
    <w:rsid w:val="00374720"/>
    <w:rsid w:val="00390D2A"/>
    <w:rsid w:val="00391BB1"/>
    <w:rsid w:val="00395936"/>
    <w:rsid w:val="003A60AF"/>
    <w:rsid w:val="003B6FA2"/>
    <w:rsid w:val="003C0CDF"/>
    <w:rsid w:val="003C25E5"/>
    <w:rsid w:val="003C7D8C"/>
    <w:rsid w:val="003D2614"/>
    <w:rsid w:val="003D779C"/>
    <w:rsid w:val="003D793D"/>
    <w:rsid w:val="003E0F86"/>
    <w:rsid w:val="003E38CD"/>
    <w:rsid w:val="003E3F0D"/>
    <w:rsid w:val="004024C1"/>
    <w:rsid w:val="00405725"/>
    <w:rsid w:val="004109A6"/>
    <w:rsid w:val="00421B39"/>
    <w:rsid w:val="004268B0"/>
    <w:rsid w:val="00427855"/>
    <w:rsid w:val="00435D64"/>
    <w:rsid w:val="00437C93"/>
    <w:rsid w:val="00441EEB"/>
    <w:rsid w:val="00442F67"/>
    <w:rsid w:val="00447846"/>
    <w:rsid w:val="0045022C"/>
    <w:rsid w:val="004657DB"/>
    <w:rsid w:val="004736A0"/>
    <w:rsid w:val="004853BF"/>
    <w:rsid w:val="00485C5C"/>
    <w:rsid w:val="004A6271"/>
    <w:rsid w:val="004A7E20"/>
    <w:rsid w:val="004B1689"/>
    <w:rsid w:val="004B5786"/>
    <w:rsid w:val="004C0B3D"/>
    <w:rsid w:val="004D11B6"/>
    <w:rsid w:val="004D590D"/>
    <w:rsid w:val="004E0BE3"/>
    <w:rsid w:val="004E0F5B"/>
    <w:rsid w:val="004E1490"/>
    <w:rsid w:val="004E18E3"/>
    <w:rsid w:val="004E21B8"/>
    <w:rsid w:val="004E2280"/>
    <w:rsid w:val="004E5B6B"/>
    <w:rsid w:val="004E7D59"/>
    <w:rsid w:val="004F095F"/>
    <w:rsid w:val="004F13B6"/>
    <w:rsid w:val="004F34BF"/>
    <w:rsid w:val="004F4A86"/>
    <w:rsid w:val="004F7078"/>
    <w:rsid w:val="005027EE"/>
    <w:rsid w:val="00505ED2"/>
    <w:rsid w:val="00525111"/>
    <w:rsid w:val="00526F14"/>
    <w:rsid w:val="00527704"/>
    <w:rsid w:val="00532E09"/>
    <w:rsid w:val="00533CFF"/>
    <w:rsid w:val="005459EF"/>
    <w:rsid w:val="00553BAA"/>
    <w:rsid w:val="005542F8"/>
    <w:rsid w:val="005617F8"/>
    <w:rsid w:val="005747B1"/>
    <w:rsid w:val="00577E21"/>
    <w:rsid w:val="00580E32"/>
    <w:rsid w:val="00581684"/>
    <w:rsid w:val="00582C59"/>
    <w:rsid w:val="00583BC1"/>
    <w:rsid w:val="00590EBE"/>
    <w:rsid w:val="005B26B4"/>
    <w:rsid w:val="005B2C19"/>
    <w:rsid w:val="005C063F"/>
    <w:rsid w:val="005C6946"/>
    <w:rsid w:val="005D0E64"/>
    <w:rsid w:val="005D57D9"/>
    <w:rsid w:val="005D7955"/>
    <w:rsid w:val="005E15AC"/>
    <w:rsid w:val="005F090B"/>
    <w:rsid w:val="005F1466"/>
    <w:rsid w:val="005F34CD"/>
    <w:rsid w:val="005F7ECA"/>
    <w:rsid w:val="00600638"/>
    <w:rsid w:val="006042FB"/>
    <w:rsid w:val="006071DD"/>
    <w:rsid w:val="006115C5"/>
    <w:rsid w:val="00616764"/>
    <w:rsid w:val="006220D1"/>
    <w:rsid w:val="0062315C"/>
    <w:rsid w:val="006239E2"/>
    <w:rsid w:val="00630AC2"/>
    <w:rsid w:val="00635259"/>
    <w:rsid w:val="0063637E"/>
    <w:rsid w:val="00636E65"/>
    <w:rsid w:val="00637E0F"/>
    <w:rsid w:val="0064250F"/>
    <w:rsid w:val="00653E30"/>
    <w:rsid w:val="00661E84"/>
    <w:rsid w:val="00663C59"/>
    <w:rsid w:val="006675C1"/>
    <w:rsid w:val="00670303"/>
    <w:rsid w:val="0067226D"/>
    <w:rsid w:val="00672560"/>
    <w:rsid w:val="00681E21"/>
    <w:rsid w:val="00683CE8"/>
    <w:rsid w:val="006874A9"/>
    <w:rsid w:val="00687928"/>
    <w:rsid w:val="006879BE"/>
    <w:rsid w:val="006A0B52"/>
    <w:rsid w:val="006A2322"/>
    <w:rsid w:val="006A24AF"/>
    <w:rsid w:val="006A4B18"/>
    <w:rsid w:val="006A7A80"/>
    <w:rsid w:val="006B2E84"/>
    <w:rsid w:val="006B7617"/>
    <w:rsid w:val="006C1A3D"/>
    <w:rsid w:val="006D0420"/>
    <w:rsid w:val="006D0A36"/>
    <w:rsid w:val="006D272F"/>
    <w:rsid w:val="006D3F40"/>
    <w:rsid w:val="006E0E6E"/>
    <w:rsid w:val="006E2835"/>
    <w:rsid w:val="006E6ABE"/>
    <w:rsid w:val="006F4BF0"/>
    <w:rsid w:val="007006E4"/>
    <w:rsid w:val="007042F1"/>
    <w:rsid w:val="00705AC0"/>
    <w:rsid w:val="00706B21"/>
    <w:rsid w:val="0071073C"/>
    <w:rsid w:val="00711CEA"/>
    <w:rsid w:val="00717919"/>
    <w:rsid w:val="00717D7E"/>
    <w:rsid w:val="00720E85"/>
    <w:rsid w:val="00722C44"/>
    <w:rsid w:val="0072306E"/>
    <w:rsid w:val="007311CA"/>
    <w:rsid w:val="007316D3"/>
    <w:rsid w:val="00733EBB"/>
    <w:rsid w:val="0073417F"/>
    <w:rsid w:val="00740FAB"/>
    <w:rsid w:val="007431B3"/>
    <w:rsid w:val="0074503B"/>
    <w:rsid w:val="00745250"/>
    <w:rsid w:val="00745C71"/>
    <w:rsid w:val="007478BA"/>
    <w:rsid w:val="00750DFA"/>
    <w:rsid w:val="00751384"/>
    <w:rsid w:val="00754519"/>
    <w:rsid w:val="00755155"/>
    <w:rsid w:val="007563A4"/>
    <w:rsid w:val="00757E55"/>
    <w:rsid w:val="00764051"/>
    <w:rsid w:val="007677B8"/>
    <w:rsid w:val="0078108B"/>
    <w:rsid w:val="007933AF"/>
    <w:rsid w:val="00793D26"/>
    <w:rsid w:val="007A0AC3"/>
    <w:rsid w:val="007A1F68"/>
    <w:rsid w:val="007A3407"/>
    <w:rsid w:val="007B4E7A"/>
    <w:rsid w:val="007B6DB2"/>
    <w:rsid w:val="007C157C"/>
    <w:rsid w:val="007C1D76"/>
    <w:rsid w:val="007C7745"/>
    <w:rsid w:val="007D4819"/>
    <w:rsid w:val="007D6119"/>
    <w:rsid w:val="007D6E7F"/>
    <w:rsid w:val="007E1EFB"/>
    <w:rsid w:val="007E2B3A"/>
    <w:rsid w:val="008011D7"/>
    <w:rsid w:val="00804E31"/>
    <w:rsid w:val="008051CB"/>
    <w:rsid w:val="00807E5E"/>
    <w:rsid w:val="00810979"/>
    <w:rsid w:val="00813041"/>
    <w:rsid w:val="00817696"/>
    <w:rsid w:val="0082280C"/>
    <w:rsid w:val="00825F79"/>
    <w:rsid w:val="008301AA"/>
    <w:rsid w:val="00833E5F"/>
    <w:rsid w:val="00837DE3"/>
    <w:rsid w:val="00847173"/>
    <w:rsid w:val="00852AF3"/>
    <w:rsid w:val="0085463A"/>
    <w:rsid w:val="00855EE2"/>
    <w:rsid w:val="008638BA"/>
    <w:rsid w:val="00865148"/>
    <w:rsid w:val="00866D47"/>
    <w:rsid w:val="00874290"/>
    <w:rsid w:val="00884324"/>
    <w:rsid w:val="00884EFC"/>
    <w:rsid w:val="00886740"/>
    <w:rsid w:val="008959ED"/>
    <w:rsid w:val="00895D68"/>
    <w:rsid w:val="008A2925"/>
    <w:rsid w:val="008A3329"/>
    <w:rsid w:val="008B2219"/>
    <w:rsid w:val="008C07E9"/>
    <w:rsid w:val="008E7D60"/>
    <w:rsid w:val="008F0E23"/>
    <w:rsid w:val="008F2E2E"/>
    <w:rsid w:val="008F5D80"/>
    <w:rsid w:val="0090126C"/>
    <w:rsid w:val="00901A5F"/>
    <w:rsid w:val="00911A73"/>
    <w:rsid w:val="00915FBC"/>
    <w:rsid w:val="0092015E"/>
    <w:rsid w:val="0092256A"/>
    <w:rsid w:val="009276C7"/>
    <w:rsid w:val="00935C14"/>
    <w:rsid w:val="00937E8F"/>
    <w:rsid w:val="0094109D"/>
    <w:rsid w:val="00960AB2"/>
    <w:rsid w:val="00963266"/>
    <w:rsid w:val="00974D54"/>
    <w:rsid w:val="00982A43"/>
    <w:rsid w:val="00985DC1"/>
    <w:rsid w:val="00993568"/>
    <w:rsid w:val="00994A01"/>
    <w:rsid w:val="0099517B"/>
    <w:rsid w:val="009A0482"/>
    <w:rsid w:val="009A1D7A"/>
    <w:rsid w:val="009A2796"/>
    <w:rsid w:val="009A4D85"/>
    <w:rsid w:val="009A7611"/>
    <w:rsid w:val="009C1144"/>
    <w:rsid w:val="009C3B70"/>
    <w:rsid w:val="009C7AA5"/>
    <w:rsid w:val="009D03FC"/>
    <w:rsid w:val="009D66DA"/>
    <w:rsid w:val="009E0B44"/>
    <w:rsid w:val="009E153D"/>
    <w:rsid w:val="009E18B5"/>
    <w:rsid w:val="009E1BBA"/>
    <w:rsid w:val="009F111D"/>
    <w:rsid w:val="009F1653"/>
    <w:rsid w:val="009F4AD5"/>
    <w:rsid w:val="009F5F37"/>
    <w:rsid w:val="009F649E"/>
    <w:rsid w:val="00A03C42"/>
    <w:rsid w:val="00A071AE"/>
    <w:rsid w:val="00A077B2"/>
    <w:rsid w:val="00A07F7F"/>
    <w:rsid w:val="00A10D13"/>
    <w:rsid w:val="00A1255C"/>
    <w:rsid w:val="00A12A62"/>
    <w:rsid w:val="00A242A4"/>
    <w:rsid w:val="00A33832"/>
    <w:rsid w:val="00A422DB"/>
    <w:rsid w:val="00A441EB"/>
    <w:rsid w:val="00A45259"/>
    <w:rsid w:val="00A45574"/>
    <w:rsid w:val="00A461FF"/>
    <w:rsid w:val="00A47322"/>
    <w:rsid w:val="00A47B1A"/>
    <w:rsid w:val="00A53177"/>
    <w:rsid w:val="00A53CCA"/>
    <w:rsid w:val="00A54F6B"/>
    <w:rsid w:val="00A57628"/>
    <w:rsid w:val="00A72310"/>
    <w:rsid w:val="00A7339E"/>
    <w:rsid w:val="00A84515"/>
    <w:rsid w:val="00A85825"/>
    <w:rsid w:val="00A9219D"/>
    <w:rsid w:val="00A9642E"/>
    <w:rsid w:val="00AB4FDD"/>
    <w:rsid w:val="00AB52C3"/>
    <w:rsid w:val="00AB7DC1"/>
    <w:rsid w:val="00AC466D"/>
    <w:rsid w:val="00AC69DC"/>
    <w:rsid w:val="00AD2828"/>
    <w:rsid w:val="00AD61D3"/>
    <w:rsid w:val="00AE04B6"/>
    <w:rsid w:val="00AE1522"/>
    <w:rsid w:val="00AE1A66"/>
    <w:rsid w:val="00AF49EA"/>
    <w:rsid w:val="00AF6324"/>
    <w:rsid w:val="00B0054F"/>
    <w:rsid w:val="00B01CBB"/>
    <w:rsid w:val="00B0715E"/>
    <w:rsid w:val="00B1092C"/>
    <w:rsid w:val="00B16075"/>
    <w:rsid w:val="00B17784"/>
    <w:rsid w:val="00B20D53"/>
    <w:rsid w:val="00B219A2"/>
    <w:rsid w:val="00B25031"/>
    <w:rsid w:val="00B3588D"/>
    <w:rsid w:val="00B374F1"/>
    <w:rsid w:val="00B42690"/>
    <w:rsid w:val="00B43218"/>
    <w:rsid w:val="00B43C24"/>
    <w:rsid w:val="00B455E0"/>
    <w:rsid w:val="00B46D80"/>
    <w:rsid w:val="00B50231"/>
    <w:rsid w:val="00B55E6D"/>
    <w:rsid w:val="00B57BDC"/>
    <w:rsid w:val="00B61604"/>
    <w:rsid w:val="00B61A7F"/>
    <w:rsid w:val="00B6611A"/>
    <w:rsid w:val="00B74698"/>
    <w:rsid w:val="00B77974"/>
    <w:rsid w:val="00B808C6"/>
    <w:rsid w:val="00B82858"/>
    <w:rsid w:val="00B86C39"/>
    <w:rsid w:val="00B92A85"/>
    <w:rsid w:val="00B95D51"/>
    <w:rsid w:val="00B96490"/>
    <w:rsid w:val="00BA2565"/>
    <w:rsid w:val="00BA7317"/>
    <w:rsid w:val="00BB5549"/>
    <w:rsid w:val="00BC69D9"/>
    <w:rsid w:val="00BC735A"/>
    <w:rsid w:val="00BD1360"/>
    <w:rsid w:val="00BD140D"/>
    <w:rsid w:val="00BD7E31"/>
    <w:rsid w:val="00BD7FC8"/>
    <w:rsid w:val="00BE1E79"/>
    <w:rsid w:val="00BE29AA"/>
    <w:rsid w:val="00BE3F99"/>
    <w:rsid w:val="00BE41FC"/>
    <w:rsid w:val="00BE5DE4"/>
    <w:rsid w:val="00BF06EC"/>
    <w:rsid w:val="00C01D75"/>
    <w:rsid w:val="00C0586D"/>
    <w:rsid w:val="00C10909"/>
    <w:rsid w:val="00C10C4E"/>
    <w:rsid w:val="00C14B40"/>
    <w:rsid w:val="00C200C2"/>
    <w:rsid w:val="00C2386B"/>
    <w:rsid w:val="00C25311"/>
    <w:rsid w:val="00C301CB"/>
    <w:rsid w:val="00C3053F"/>
    <w:rsid w:val="00C30620"/>
    <w:rsid w:val="00C3119C"/>
    <w:rsid w:val="00C32D83"/>
    <w:rsid w:val="00C35103"/>
    <w:rsid w:val="00C353B4"/>
    <w:rsid w:val="00C427E1"/>
    <w:rsid w:val="00C46456"/>
    <w:rsid w:val="00C504C0"/>
    <w:rsid w:val="00C532AB"/>
    <w:rsid w:val="00C532E0"/>
    <w:rsid w:val="00C53B77"/>
    <w:rsid w:val="00C552A9"/>
    <w:rsid w:val="00C65ED4"/>
    <w:rsid w:val="00C701F4"/>
    <w:rsid w:val="00C70BF4"/>
    <w:rsid w:val="00C70E70"/>
    <w:rsid w:val="00C71C12"/>
    <w:rsid w:val="00C74373"/>
    <w:rsid w:val="00C75290"/>
    <w:rsid w:val="00C81355"/>
    <w:rsid w:val="00C81591"/>
    <w:rsid w:val="00C82B35"/>
    <w:rsid w:val="00C82C42"/>
    <w:rsid w:val="00C8577E"/>
    <w:rsid w:val="00C863E6"/>
    <w:rsid w:val="00C95A0B"/>
    <w:rsid w:val="00CB26E8"/>
    <w:rsid w:val="00CB6390"/>
    <w:rsid w:val="00CC13B4"/>
    <w:rsid w:val="00CC627A"/>
    <w:rsid w:val="00CD6A23"/>
    <w:rsid w:val="00CE7435"/>
    <w:rsid w:val="00D01407"/>
    <w:rsid w:val="00D22E92"/>
    <w:rsid w:val="00D258AC"/>
    <w:rsid w:val="00D35F9D"/>
    <w:rsid w:val="00D40FCC"/>
    <w:rsid w:val="00D4405A"/>
    <w:rsid w:val="00D56590"/>
    <w:rsid w:val="00D605A9"/>
    <w:rsid w:val="00D62A45"/>
    <w:rsid w:val="00D63890"/>
    <w:rsid w:val="00D907B3"/>
    <w:rsid w:val="00D94842"/>
    <w:rsid w:val="00DA6825"/>
    <w:rsid w:val="00DB3C43"/>
    <w:rsid w:val="00DB5EDF"/>
    <w:rsid w:val="00DC0BAF"/>
    <w:rsid w:val="00DC2502"/>
    <w:rsid w:val="00DC4A08"/>
    <w:rsid w:val="00DC62A8"/>
    <w:rsid w:val="00DD0D2C"/>
    <w:rsid w:val="00DD4D92"/>
    <w:rsid w:val="00DD6FDF"/>
    <w:rsid w:val="00DE4EB0"/>
    <w:rsid w:val="00DF03F0"/>
    <w:rsid w:val="00DF09CD"/>
    <w:rsid w:val="00DF2233"/>
    <w:rsid w:val="00DF728A"/>
    <w:rsid w:val="00E02E63"/>
    <w:rsid w:val="00E0444A"/>
    <w:rsid w:val="00E1330C"/>
    <w:rsid w:val="00E17132"/>
    <w:rsid w:val="00E21B61"/>
    <w:rsid w:val="00E21F77"/>
    <w:rsid w:val="00E33749"/>
    <w:rsid w:val="00E36E3A"/>
    <w:rsid w:val="00E42DDC"/>
    <w:rsid w:val="00E46221"/>
    <w:rsid w:val="00E5003B"/>
    <w:rsid w:val="00E56095"/>
    <w:rsid w:val="00E62C9B"/>
    <w:rsid w:val="00E63B1F"/>
    <w:rsid w:val="00E72E86"/>
    <w:rsid w:val="00E8142F"/>
    <w:rsid w:val="00E815B0"/>
    <w:rsid w:val="00E87E48"/>
    <w:rsid w:val="00E94E23"/>
    <w:rsid w:val="00E97E37"/>
    <w:rsid w:val="00EA0E46"/>
    <w:rsid w:val="00EA6CD5"/>
    <w:rsid w:val="00EA6E4A"/>
    <w:rsid w:val="00EB013B"/>
    <w:rsid w:val="00EB021E"/>
    <w:rsid w:val="00EB1EF1"/>
    <w:rsid w:val="00EB489C"/>
    <w:rsid w:val="00EB75FA"/>
    <w:rsid w:val="00EC2EB3"/>
    <w:rsid w:val="00EC4007"/>
    <w:rsid w:val="00EC59BE"/>
    <w:rsid w:val="00ED6426"/>
    <w:rsid w:val="00EE036A"/>
    <w:rsid w:val="00EE2984"/>
    <w:rsid w:val="00EE7368"/>
    <w:rsid w:val="00EE7D22"/>
    <w:rsid w:val="00EF5A77"/>
    <w:rsid w:val="00EF6185"/>
    <w:rsid w:val="00EF6F06"/>
    <w:rsid w:val="00F035DF"/>
    <w:rsid w:val="00F03F7B"/>
    <w:rsid w:val="00F046B1"/>
    <w:rsid w:val="00F071C3"/>
    <w:rsid w:val="00F17D90"/>
    <w:rsid w:val="00F3195C"/>
    <w:rsid w:val="00F3472B"/>
    <w:rsid w:val="00F37074"/>
    <w:rsid w:val="00F406EF"/>
    <w:rsid w:val="00F42464"/>
    <w:rsid w:val="00F45BAD"/>
    <w:rsid w:val="00F46DB0"/>
    <w:rsid w:val="00F5179D"/>
    <w:rsid w:val="00F535C8"/>
    <w:rsid w:val="00F5629A"/>
    <w:rsid w:val="00F57624"/>
    <w:rsid w:val="00F6436E"/>
    <w:rsid w:val="00F671B3"/>
    <w:rsid w:val="00F67973"/>
    <w:rsid w:val="00F72FFC"/>
    <w:rsid w:val="00F7519F"/>
    <w:rsid w:val="00F77B8B"/>
    <w:rsid w:val="00F83AFF"/>
    <w:rsid w:val="00F87BD8"/>
    <w:rsid w:val="00F958FD"/>
    <w:rsid w:val="00F97D9D"/>
    <w:rsid w:val="00FA12F9"/>
    <w:rsid w:val="00FB2AA6"/>
    <w:rsid w:val="00FB35E6"/>
    <w:rsid w:val="00FC0D14"/>
    <w:rsid w:val="00FD14CC"/>
    <w:rsid w:val="00FD6091"/>
    <w:rsid w:val="00FD6F12"/>
    <w:rsid w:val="00FE3E89"/>
    <w:rsid w:val="00FF04E5"/>
    <w:rsid w:val="00FF5B21"/>
    <w:rsid w:val="00FF6714"/>
    <w:rsid w:val="00FF7F19"/>
    <w:rsid w:val="095D49B7"/>
    <w:rsid w:val="4C08629C"/>
    <w:rsid w:val="5AC93EE4"/>
    <w:rsid w:val="664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162</Words>
  <Characters>928</Characters>
  <Lines>7</Lines>
  <Paragraphs>2</Paragraphs>
  <TotalTime>6</TotalTime>
  <ScaleCrop>false</ScaleCrop>
  <LinksUpToDate>false</LinksUpToDate>
  <CharactersWithSpaces>1088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2021-09-24T11:00:00Z</dcterms:created>
  <dc:creator>Пользователь Windows</dc:creator>
  <cp:lastModifiedBy>Лера Орлова</cp:lastModifiedBy>
  <dcterms:modified xsi:type="dcterms:W3CDTF">2022-09-30T08:28:06Z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26890C3E97D54723A709A17D3C985753</vt:lpwstr>
  </property>
</Properties>
</file>